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shd w:val="clear" w:color="auto" w:fill="FAFAFA"/>
        <w:tblCellMar>
          <w:left w:w="0" w:type="dxa"/>
          <w:right w:w="0" w:type="dxa"/>
        </w:tblCellMar>
        <w:tblLook w:val="04A0" w:firstRow="1" w:lastRow="0" w:firstColumn="1" w:lastColumn="0" w:noHBand="0" w:noVBand="1"/>
      </w:tblPr>
      <w:tblGrid>
        <w:gridCol w:w="9000"/>
      </w:tblGrid>
      <w:tr w:rsidR="00BB50F7" w:rsidRPr="007B45E2" w14:paraId="06968EC4" w14:textId="77777777" w:rsidTr="0011365D">
        <w:tc>
          <w:tcPr>
            <w:tcW w:w="0" w:type="auto"/>
            <w:tcBorders>
              <w:top w:val="nil"/>
              <w:bottom w:val="nil"/>
            </w:tcBorders>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BB50F7" w:rsidRPr="007B45E2" w14:paraId="610BE2EF" w14:textId="77777777" w:rsidTr="00BB50F7">
              <w:tc>
                <w:tcPr>
                  <w:tcW w:w="0" w:type="auto"/>
                  <w:shd w:val="clear" w:color="auto" w:fill="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50F7" w:rsidRPr="007B45E2" w14:paraId="59493152" w14:textId="77777777" w:rsidTr="0011365D">
                    <w:tc>
                      <w:tcPr>
                        <w:tcW w:w="0" w:type="auto"/>
                        <w:tcMar>
                          <w:top w:w="0" w:type="dxa"/>
                          <w:left w:w="270" w:type="dxa"/>
                          <w:bottom w:w="135" w:type="dxa"/>
                          <w:right w:w="270" w:type="dxa"/>
                        </w:tcMar>
                        <w:hideMark/>
                      </w:tcPr>
                      <w:p w14:paraId="6E15E6EE" w14:textId="77777777" w:rsidR="00BB50F7" w:rsidRPr="007B45E2" w:rsidRDefault="00BB50F7" w:rsidP="00BB50F7">
                        <w:pPr>
                          <w:rPr>
                            <w:b/>
                            <w:bCs/>
                            <w:sz w:val="24"/>
                            <w:szCs w:val="24"/>
                          </w:rPr>
                        </w:pPr>
                        <w:r w:rsidRPr="007B45E2">
                          <w:rPr>
                            <w:b/>
                            <w:bCs/>
                            <w:sz w:val="24"/>
                            <w:szCs w:val="24"/>
                          </w:rPr>
                          <w:t>Le 27 octobre 2022</w:t>
                        </w:r>
                      </w:p>
                    </w:tc>
                  </w:tr>
                </w:tbl>
                <w:p w14:paraId="67F5F02D" w14:textId="77777777" w:rsidR="00BB50F7" w:rsidRPr="007B45E2" w:rsidRDefault="00BB50F7" w:rsidP="00BB50F7">
                  <w:pPr>
                    <w:rPr>
                      <w:sz w:val="24"/>
                      <w:szCs w:val="24"/>
                    </w:rPr>
                  </w:pPr>
                </w:p>
              </w:tc>
            </w:tr>
          </w:tbl>
          <w:p w14:paraId="200DDCF1" w14:textId="77777777" w:rsidR="00BB50F7" w:rsidRPr="007B45E2" w:rsidRDefault="00BB50F7" w:rsidP="00BB50F7">
            <w:pPr>
              <w:rPr>
                <w:sz w:val="24"/>
                <w:szCs w:val="24"/>
              </w:rPr>
            </w:pPr>
          </w:p>
          <w:tbl>
            <w:tblPr>
              <w:tblW w:w="5000" w:type="pct"/>
              <w:tblCellMar>
                <w:left w:w="0" w:type="dxa"/>
                <w:right w:w="0" w:type="dxa"/>
              </w:tblCellMar>
              <w:tblLook w:val="04A0" w:firstRow="1" w:lastRow="0" w:firstColumn="1" w:lastColumn="0" w:noHBand="0" w:noVBand="1"/>
            </w:tblPr>
            <w:tblGrid>
              <w:gridCol w:w="9000"/>
            </w:tblGrid>
            <w:tr w:rsidR="00BB50F7" w:rsidRPr="007B45E2" w14:paraId="3739ED16" w14:textId="77777777" w:rsidTr="0011365D">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BB50F7" w:rsidRPr="007B45E2" w14:paraId="37DF0A54" w14:textId="77777777" w:rsidTr="0011365D">
                    <w:tc>
                      <w:tcPr>
                        <w:tcW w:w="0" w:type="auto"/>
                        <w:tcMar>
                          <w:top w:w="0" w:type="dxa"/>
                          <w:left w:w="270" w:type="dxa"/>
                          <w:bottom w:w="135" w:type="dxa"/>
                          <w:right w:w="270" w:type="dxa"/>
                        </w:tcMar>
                        <w:hideMark/>
                      </w:tcPr>
                      <w:p w14:paraId="4EE1D587" w14:textId="77777777" w:rsidR="00BB50F7" w:rsidRPr="007B45E2" w:rsidRDefault="00BB50F7" w:rsidP="00BB50F7">
                        <w:pPr>
                          <w:rPr>
                            <w:sz w:val="24"/>
                            <w:szCs w:val="24"/>
                          </w:rPr>
                        </w:pPr>
                        <w:r w:rsidRPr="007B45E2">
                          <w:rPr>
                            <w:b/>
                            <w:bCs/>
                            <w:sz w:val="24"/>
                            <w:szCs w:val="24"/>
                          </w:rPr>
                          <w:t>Rappel : Préparation à la COVID-19 et aux autres maladies infectieuses</w:t>
                        </w:r>
                        <w:r w:rsidRPr="007B45E2">
                          <w:rPr>
                            <w:b/>
                            <w:bCs/>
                            <w:sz w:val="24"/>
                            <w:szCs w:val="24"/>
                          </w:rPr>
                          <w:br/>
                        </w:r>
                        <w:r w:rsidRPr="007B45E2">
                          <w:rPr>
                            <w:sz w:val="24"/>
                            <w:szCs w:val="24"/>
                          </w:rPr>
                          <w:br/>
                          <w:t>L’ORMR souhaite rappeler aux établissements que la préparation à la COVID-19 et aux autres maladies infectieuses est importante pour assurer la sécurité et le bien-être des résidents des maisons de retraite de l’Ontario. L’ORMR met à leur disposition les ressources et outils suivants afin de les aider dans leurs préparatifs pour faire face à l’automne et à l’hiver. Ils incluent :</w:t>
                        </w:r>
                      </w:p>
                      <w:p w14:paraId="48C97CED" w14:textId="77777777" w:rsidR="00BB50F7" w:rsidRPr="007B45E2" w:rsidRDefault="00BB50F7" w:rsidP="00BB50F7">
                        <w:pPr>
                          <w:rPr>
                            <w:sz w:val="24"/>
                            <w:szCs w:val="24"/>
                          </w:rPr>
                        </w:pPr>
                        <w:proofErr w:type="gramStart"/>
                        <w:r w:rsidRPr="007B45E2">
                          <w:rPr>
                            <w:sz w:val="24"/>
                            <w:szCs w:val="24"/>
                          </w:rPr>
                          <w:t>la</w:t>
                        </w:r>
                        <w:proofErr w:type="gramEnd"/>
                        <w:r w:rsidRPr="007B45E2">
                          <w:rPr>
                            <w:sz w:val="24"/>
                            <w:szCs w:val="24"/>
                          </w:rPr>
                          <w:t xml:space="preserve"> liste de contrôle et d’autoévaluation de la préparation à la COVID-19</w:t>
                        </w:r>
                      </w:p>
                      <w:p w14:paraId="74CA649D" w14:textId="77777777" w:rsidR="00BB50F7" w:rsidRPr="007B45E2" w:rsidRDefault="00BB50F7" w:rsidP="00BB50F7">
                        <w:pPr>
                          <w:rPr>
                            <w:sz w:val="24"/>
                            <w:szCs w:val="24"/>
                          </w:rPr>
                        </w:pPr>
                        <w:proofErr w:type="gramStart"/>
                        <w:r w:rsidRPr="007B45E2">
                          <w:rPr>
                            <w:sz w:val="24"/>
                            <w:szCs w:val="24"/>
                          </w:rPr>
                          <w:t>les</w:t>
                        </w:r>
                        <w:proofErr w:type="gramEnd"/>
                        <w:r w:rsidRPr="007B45E2">
                          <w:rPr>
                            <w:sz w:val="24"/>
                            <w:szCs w:val="24"/>
                          </w:rPr>
                          <w:t xml:space="preserve"> conseils pour signaler les éclosions de COVID-19</w:t>
                        </w:r>
                      </w:p>
                      <w:p w14:paraId="1382D70B" w14:textId="77777777" w:rsidR="00BB50F7" w:rsidRPr="007B45E2" w:rsidRDefault="00BB50F7" w:rsidP="00BB50F7">
                        <w:pPr>
                          <w:rPr>
                            <w:sz w:val="24"/>
                            <w:szCs w:val="24"/>
                          </w:rPr>
                        </w:pPr>
                        <w:proofErr w:type="gramStart"/>
                        <w:r w:rsidRPr="007B45E2">
                          <w:rPr>
                            <w:sz w:val="24"/>
                            <w:szCs w:val="24"/>
                          </w:rPr>
                          <w:t>les</w:t>
                        </w:r>
                        <w:proofErr w:type="gramEnd"/>
                        <w:r w:rsidRPr="007B45E2">
                          <w:rPr>
                            <w:sz w:val="24"/>
                            <w:szCs w:val="24"/>
                          </w:rPr>
                          <w:t xml:space="preserve"> ressources sur la prévention et le contrôle des infections (PCI)</w:t>
                        </w:r>
                      </w:p>
                      <w:p w14:paraId="1D808C27" w14:textId="77777777" w:rsidR="00BB50F7" w:rsidRPr="007B45E2" w:rsidRDefault="00BB50F7" w:rsidP="00BB50F7">
                        <w:pPr>
                          <w:rPr>
                            <w:sz w:val="24"/>
                            <w:szCs w:val="24"/>
                          </w:rPr>
                        </w:pPr>
                        <w:proofErr w:type="gramStart"/>
                        <w:r w:rsidRPr="007B45E2">
                          <w:rPr>
                            <w:sz w:val="24"/>
                            <w:szCs w:val="24"/>
                          </w:rPr>
                          <w:t>le</w:t>
                        </w:r>
                        <w:proofErr w:type="gramEnd"/>
                        <w:r w:rsidRPr="007B45E2">
                          <w:rPr>
                            <w:sz w:val="24"/>
                            <w:szCs w:val="24"/>
                          </w:rPr>
                          <w:t xml:space="preserve"> recours aux personnes bénévoles afin de pallier les pénuries de personnel</w:t>
                        </w:r>
                      </w:p>
                      <w:p w14:paraId="678D6EC3" w14:textId="77777777" w:rsidR="00BB50F7" w:rsidRPr="007B45E2" w:rsidRDefault="00BB50F7" w:rsidP="00BB50F7">
                        <w:pPr>
                          <w:rPr>
                            <w:sz w:val="24"/>
                            <w:szCs w:val="24"/>
                          </w:rPr>
                        </w:pPr>
                        <w:r w:rsidRPr="007B45E2">
                          <w:rPr>
                            <w:sz w:val="24"/>
                            <w:szCs w:val="24"/>
                          </w:rPr>
                          <w:t xml:space="preserve">Pour obtenir de plus amples renseignements, veuillez consulter notre précédente </w:t>
                        </w:r>
                        <w:hyperlink r:id="rId5" w:history="1">
                          <w:r w:rsidRPr="007B45E2">
                            <w:rPr>
                              <w:rStyle w:val="Hyperlink"/>
                              <w:sz w:val="24"/>
                              <w:szCs w:val="24"/>
                            </w:rPr>
                            <w:t>communication</w:t>
                          </w:r>
                        </w:hyperlink>
                        <w:r w:rsidRPr="007B45E2">
                          <w:rPr>
                            <w:sz w:val="24"/>
                            <w:szCs w:val="24"/>
                          </w:rPr>
                          <w:t xml:space="preserve"> ou communiquer avec nous par courriel à </w:t>
                        </w:r>
                        <w:hyperlink r:id="rId6" w:history="1">
                          <w:r w:rsidRPr="007B45E2">
                            <w:rPr>
                              <w:rStyle w:val="Hyperlink"/>
                              <w:sz w:val="24"/>
                              <w:szCs w:val="24"/>
                            </w:rPr>
                            <w:t>info@rhra.ca</w:t>
                          </w:r>
                        </w:hyperlink>
                        <w:r w:rsidRPr="007B45E2">
                          <w:rPr>
                            <w:sz w:val="24"/>
                            <w:szCs w:val="24"/>
                          </w:rPr>
                          <w:t>.</w:t>
                        </w:r>
                        <w:r w:rsidRPr="007B45E2">
                          <w:rPr>
                            <w:sz w:val="24"/>
                            <w:szCs w:val="24"/>
                          </w:rPr>
                          <w:br/>
                          <w:t> </w:t>
                        </w:r>
                        <w:r w:rsidRPr="007B45E2">
                          <w:rPr>
                            <w:sz w:val="24"/>
                            <w:szCs w:val="24"/>
                          </w:rPr>
                          <w:br/>
                        </w:r>
                        <w:r w:rsidRPr="007B45E2">
                          <w:rPr>
                            <w:b/>
                            <w:bCs/>
                            <w:sz w:val="24"/>
                            <w:szCs w:val="24"/>
                          </w:rPr>
                          <w:t>Rappel : Portail d’approvisionnement en EPI (PAE)</w:t>
                        </w:r>
                        <w:r w:rsidRPr="007B45E2">
                          <w:rPr>
                            <w:sz w:val="24"/>
                            <w:szCs w:val="24"/>
                          </w:rPr>
                          <w:br/>
                        </w:r>
                        <w:r w:rsidRPr="007B45E2">
                          <w:rPr>
                            <w:sz w:val="24"/>
                            <w:szCs w:val="24"/>
                          </w:rPr>
                          <w:br/>
                          <w:t xml:space="preserve">Récemment, l’ORMR </w:t>
                        </w:r>
                        <w:hyperlink r:id="rId7" w:history="1">
                          <w:r w:rsidRPr="007B45E2">
                            <w:rPr>
                              <w:rStyle w:val="Hyperlink"/>
                              <w:sz w:val="24"/>
                              <w:szCs w:val="24"/>
                            </w:rPr>
                            <w:t>a fait part</w:t>
                          </w:r>
                        </w:hyperlink>
                        <w:r w:rsidRPr="007B45E2">
                          <w:rPr>
                            <w:sz w:val="24"/>
                            <w:szCs w:val="24"/>
                          </w:rPr>
                          <w:t xml:space="preserve"> de l’</w:t>
                        </w:r>
                        <w:hyperlink r:id="rId8" w:history="1">
                          <w:r w:rsidRPr="007B45E2">
                            <w:rPr>
                              <w:rStyle w:val="Hyperlink"/>
                              <w:sz w:val="24"/>
                              <w:szCs w:val="24"/>
                            </w:rPr>
                            <w:t>annonce</w:t>
                          </w:r>
                        </w:hyperlink>
                        <w:r w:rsidRPr="007B45E2">
                          <w:rPr>
                            <w:sz w:val="24"/>
                            <w:szCs w:val="24"/>
                          </w:rPr>
                          <w:t xml:space="preserve"> du ministère des Services aux aînés et de l’Accessibilité (MSAA) concernant le nouveau système intégré de gestion des commandes, le </w:t>
                        </w:r>
                        <w:hyperlink r:id="rId9" w:history="1">
                          <w:r w:rsidRPr="007B45E2">
                            <w:rPr>
                              <w:rStyle w:val="Hyperlink"/>
                              <w:sz w:val="24"/>
                              <w:szCs w:val="24"/>
                            </w:rPr>
                            <w:t>Portail d’approvisionnement en EPI</w:t>
                          </w:r>
                        </w:hyperlink>
                        <w:r w:rsidRPr="007B45E2">
                          <w:rPr>
                            <w:sz w:val="24"/>
                            <w:szCs w:val="24"/>
                          </w:rPr>
                          <w:t xml:space="preserve"> (PAE). Toutes les maisons de retraite agréées doivent impérativement activer leur compte et commencer à utiliser le PAE pour commander des fournitures au plus tard le 1er novembre 2022. Pour obtenir des précisions, consultez la </w:t>
                        </w:r>
                        <w:hyperlink r:id="rId10" w:history="1">
                          <w:r w:rsidRPr="007B45E2">
                            <w:rPr>
                              <w:rStyle w:val="Hyperlink"/>
                              <w:sz w:val="24"/>
                              <w:szCs w:val="24"/>
                            </w:rPr>
                            <w:t>note de service</w:t>
                          </w:r>
                        </w:hyperlink>
                        <w:r w:rsidRPr="007B45E2">
                          <w:rPr>
                            <w:sz w:val="24"/>
                            <w:szCs w:val="24"/>
                          </w:rPr>
                          <w:t xml:space="preserve"> du MSAA. Pour obtenir des instructions détaillées sur le nouveau portail, veuillez consulter le </w:t>
                        </w:r>
                        <w:hyperlink r:id="rId11" w:history="1">
                          <w:r w:rsidRPr="007B45E2">
                            <w:rPr>
                              <w:rStyle w:val="Hyperlink"/>
                              <w:sz w:val="24"/>
                              <w:szCs w:val="24"/>
                            </w:rPr>
                            <w:t>Guide de l’utilisateur</w:t>
                          </w:r>
                        </w:hyperlink>
                        <w:r w:rsidRPr="007B45E2">
                          <w:rPr>
                            <w:sz w:val="24"/>
                            <w:szCs w:val="24"/>
                          </w:rPr>
                          <w:t xml:space="preserve"> et le </w:t>
                        </w:r>
                        <w:hyperlink r:id="rId12" w:history="1">
                          <w:r w:rsidRPr="007B45E2">
                            <w:rPr>
                              <w:rStyle w:val="Hyperlink"/>
                              <w:sz w:val="24"/>
                              <w:szCs w:val="24"/>
                            </w:rPr>
                            <w:t>Guide de référence rapide</w:t>
                          </w:r>
                        </w:hyperlink>
                        <w:r w:rsidRPr="007B45E2">
                          <w:rPr>
                            <w:sz w:val="24"/>
                            <w:szCs w:val="24"/>
                          </w:rPr>
                          <w:t>.</w:t>
                        </w:r>
                        <w:r w:rsidRPr="007B45E2">
                          <w:rPr>
                            <w:sz w:val="24"/>
                            <w:szCs w:val="24"/>
                          </w:rPr>
                          <w:br/>
                        </w:r>
                        <w:r w:rsidRPr="007B45E2">
                          <w:rPr>
                            <w:sz w:val="24"/>
                            <w:szCs w:val="24"/>
                          </w:rPr>
                          <w:br/>
                          <w:t xml:space="preserve">Si vous avez des questions, des commentaires ou des préoccupations spécifiques concernant le nouveau processus de commande, veuillez envoyer un courriel à </w:t>
                        </w:r>
                        <w:hyperlink r:id="rId13" w:history="1">
                          <w:r w:rsidRPr="007B45E2">
                            <w:rPr>
                              <w:rStyle w:val="Hyperlink"/>
                              <w:sz w:val="24"/>
                              <w:szCs w:val="24"/>
                            </w:rPr>
                            <w:t>SCO.Supplies@ontario.ca</w:t>
                          </w:r>
                        </w:hyperlink>
                        <w:r w:rsidRPr="007B45E2">
                          <w:rPr>
                            <w:sz w:val="24"/>
                            <w:szCs w:val="24"/>
                          </w:rPr>
                          <w:t>.</w:t>
                        </w:r>
                        <w:r w:rsidRPr="007B45E2">
                          <w:rPr>
                            <w:sz w:val="24"/>
                            <w:szCs w:val="24"/>
                          </w:rPr>
                          <w:br/>
                          <w:t> </w:t>
                        </w:r>
                        <w:r w:rsidRPr="007B45E2">
                          <w:rPr>
                            <w:sz w:val="24"/>
                            <w:szCs w:val="24"/>
                          </w:rPr>
                          <w:br/>
                          <w:t xml:space="preserve">Au cas où vous auriez d’autres questions, vous pouvez les poser par courriel au MSAA à </w:t>
                        </w:r>
                        <w:hyperlink r:id="rId14" w:history="1">
                          <w:r w:rsidRPr="007B45E2">
                            <w:rPr>
                              <w:rStyle w:val="Hyperlink"/>
                              <w:sz w:val="24"/>
                              <w:szCs w:val="24"/>
                            </w:rPr>
                            <w:t>RHInquiries@ontario.ca</w:t>
                          </w:r>
                        </w:hyperlink>
                        <w:r w:rsidRPr="007B45E2">
                          <w:rPr>
                            <w:sz w:val="24"/>
                            <w:szCs w:val="24"/>
                          </w:rPr>
                          <w:t xml:space="preserve"> ou à l’ORMR à </w:t>
                        </w:r>
                        <w:hyperlink r:id="rId15" w:history="1">
                          <w:r w:rsidRPr="007B45E2">
                            <w:rPr>
                              <w:rStyle w:val="Hyperlink"/>
                              <w:sz w:val="24"/>
                              <w:szCs w:val="24"/>
                            </w:rPr>
                            <w:t>info@rhra.ca</w:t>
                          </w:r>
                        </w:hyperlink>
                        <w:r w:rsidRPr="007B45E2">
                          <w:rPr>
                            <w:sz w:val="24"/>
                            <w:szCs w:val="24"/>
                          </w:rPr>
                          <w:t>.</w:t>
                        </w:r>
                        <w:r w:rsidRPr="007B45E2">
                          <w:rPr>
                            <w:sz w:val="24"/>
                            <w:szCs w:val="24"/>
                          </w:rPr>
                          <w:br/>
                          <w:t> </w:t>
                        </w:r>
                        <w:r w:rsidRPr="007B45E2">
                          <w:rPr>
                            <w:sz w:val="24"/>
                            <w:szCs w:val="24"/>
                          </w:rPr>
                          <w:br/>
                        </w:r>
                        <w:r w:rsidRPr="007B45E2">
                          <w:rPr>
                            <w:b/>
                            <w:bCs/>
                            <w:sz w:val="24"/>
                            <w:szCs w:val="24"/>
                          </w:rPr>
                          <w:lastRenderedPageBreak/>
                          <w:t>Rappel : Modification du processus de facturation de l’ORMR</w:t>
                        </w:r>
                        <w:r w:rsidRPr="007B45E2">
                          <w:rPr>
                            <w:sz w:val="24"/>
                            <w:szCs w:val="24"/>
                          </w:rPr>
                          <w:br/>
                          <w:t> </w:t>
                        </w:r>
                        <w:r w:rsidRPr="007B45E2">
                          <w:rPr>
                            <w:sz w:val="24"/>
                            <w:szCs w:val="24"/>
                          </w:rPr>
                          <w:br/>
                          <w:t xml:space="preserve">Comme nous l’avions </w:t>
                        </w:r>
                        <w:hyperlink r:id="rId16" w:history="1">
                          <w:r w:rsidRPr="007B45E2">
                            <w:rPr>
                              <w:rStyle w:val="Hyperlink"/>
                              <w:sz w:val="24"/>
                              <w:szCs w:val="24"/>
                            </w:rPr>
                            <w:t>annoncé</w:t>
                          </w:r>
                        </w:hyperlink>
                        <w:r w:rsidRPr="007B45E2">
                          <w:rPr>
                            <w:sz w:val="24"/>
                            <w:szCs w:val="24"/>
                          </w:rPr>
                          <w:t>, l’ORMR apportera des modifications à son processus de facturation le 1er novembre 2022, et adoptera notamment un nouveau modèle de facture. Ces changements ont pour objet de mettre en œuvre une technologie qui améliorera la transparence et l’efficacité de la facturation. Les titulaires de permis pourront les constater à partir des factures des droits annuels pour l’année 2023 qui seront envoyées dès le 1er novembre 2022. Nous vous remercions par avance de votre compréhension pendant que nous mettons en œuvre ces gains d’efficacité.</w:t>
                        </w:r>
                        <w:r w:rsidRPr="007B45E2">
                          <w:rPr>
                            <w:sz w:val="24"/>
                            <w:szCs w:val="24"/>
                          </w:rPr>
                          <w:br/>
                          <w:t> </w:t>
                        </w:r>
                        <w:r w:rsidRPr="007B45E2">
                          <w:rPr>
                            <w:sz w:val="24"/>
                            <w:szCs w:val="24"/>
                          </w:rPr>
                          <w:br/>
                          <w:t xml:space="preserve">Si vous avez des questions, veuillez les poser par courriel à </w:t>
                        </w:r>
                        <w:hyperlink r:id="rId17" w:history="1">
                          <w:r w:rsidRPr="007B45E2">
                            <w:rPr>
                              <w:rStyle w:val="Hyperlink"/>
                              <w:sz w:val="24"/>
                              <w:szCs w:val="24"/>
                            </w:rPr>
                            <w:t>finance@rhra.ca</w:t>
                          </w:r>
                        </w:hyperlink>
                        <w:r w:rsidRPr="007B45E2">
                          <w:rPr>
                            <w:sz w:val="24"/>
                            <w:szCs w:val="24"/>
                          </w:rPr>
                          <w:t>.</w:t>
                        </w:r>
                        <w:r w:rsidRPr="007B45E2">
                          <w:rPr>
                            <w:sz w:val="24"/>
                            <w:szCs w:val="24"/>
                          </w:rPr>
                          <w:br/>
                        </w:r>
                        <w:r w:rsidRPr="007B45E2">
                          <w:rPr>
                            <w:sz w:val="24"/>
                            <w:szCs w:val="24"/>
                          </w:rPr>
                          <w:br/>
                        </w:r>
                        <w:r w:rsidRPr="007B45E2">
                          <w:rPr>
                            <w:b/>
                            <w:bCs/>
                            <w:sz w:val="24"/>
                            <w:szCs w:val="24"/>
                          </w:rPr>
                          <w:t>Comment reconnaître les escroqueries ciblant les aînés?</w:t>
                        </w:r>
                        <w:r w:rsidRPr="007B45E2">
                          <w:rPr>
                            <w:sz w:val="24"/>
                            <w:szCs w:val="24"/>
                          </w:rPr>
                          <w:br/>
                        </w:r>
                        <w:r w:rsidRPr="007B45E2">
                          <w:rPr>
                            <w:sz w:val="24"/>
                            <w:szCs w:val="24"/>
                          </w:rPr>
                          <w:br/>
                          <w:t>L’ORMR a été informé d’une augmentation des cas d’aînés pris pour cibles par des fraudeurs, y compris des résidents de maisons de retraite.</w:t>
                        </w:r>
                        <w:r w:rsidRPr="007B45E2">
                          <w:rPr>
                            <w:sz w:val="24"/>
                            <w:szCs w:val="24"/>
                          </w:rPr>
                          <w:br/>
                        </w:r>
                        <w:r w:rsidRPr="007B45E2">
                          <w:rPr>
                            <w:sz w:val="24"/>
                            <w:szCs w:val="24"/>
                          </w:rPr>
                          <w:br/>
                          <w:t>Plus précisément, les escrocs emploient une tactique connue sous le nom de « fraude de la situation d’urgence », consistant à appeler un aîné par téléphone en se faisant passer pour son petit-fils ou sa petite-fille, avant de prétendre se trouver en difficulté et avoir besoin d’une aide financière immédiate.</w:t>
                        </w:r>
                        <w:r w:rsidRPr="007B45E2">
                          <w:rPr>
                            <w:sz w:val="24"/>
                            <w:szCs w:val="24"/>
                          </w:rPr>
                          <w:br/>
                        </w:r>
                        <w:r w:rsidRPr="007B45E2">
                          <w:rPr>
                            <w:sz w:val="24"/>
                            <w:szCs w:val="24"/>
                          </w:rPr>
                          <w:br/>
                          <w:t xml:space="preserve">L’ORMR encourage les titulaires de permis et les exploitants à discuter de ce type de fraude avec les résidents afin de les en prémunir. Le gouvernement du Canada a publié une </w:t>
                        </w:r>
                        <w:hyperlink r:id="rId18" w:history="1">
                          <w:r w:rsidRPr="007B45E2">
                            <w:rPr>
                              <w:rStyle w:val="Hyperlink"/>
                              <w:sz w:val="24"/>
                              <w:szCs w:val="24"/>
                            </w:rPr>
                            <w:t>ressource</w:t>
                          </w:r>
                        </w:hyperlink>
                        <w:r w:rsidRPr="007B45E2">
                          <w:rPr>
                            <w:sz w:val="24"/>
                            <w:szCs w:val="24"/>
                          </w:rPr>
                          <w:t xml:space="preserve"> utile qui peut être utilisée pour sensibiliser les résidents et leur éviter de devenir victimes de ce type d’escroquerie.</w:t>
                        </w:r>
                        <w:r w:rsidRPr="007B45E2">
                          <w:rPr>
                            <w:sz w:val="24"/>
                            <w:szCs w:val="24"/>
                          </w:rPr>
                          <w:br/>
                        </w:r>
                        <w:r w:rsidRPr="007B45E2">
                          <w:rPr>
                            <w:sz w:val="24"/>
                            <w:szCs w:val="24"/>
                          </w:rPr>
                          <w:br/>
                          <w:t xml:space="preserve">Si vous soupçonnez qu’un résident ou une résidente a été victime d’une fraude, veuillez le signaler au </w:t>
                        </w:r>
                        <w:hyperlink r:id="rId19" w:history="1">
                          <w:r w:rsidRPr="007B45E2">
                            <w:rPr>
                              <w:rStyle w:val="Hyperlink"/>
                              <w:sz w:val="24"/>
                              <w:szCs w:val="24"/>
                            </w:rPr>
                            <w:t>Centre antifraude du Canada</w:t>
                          </w:r>
                        </w:hyperlink>
                        <w:r w:rsidRPr="007B45E2">
                          <w:rPr>
                            <w:sz w:val="24"/>
                            <w:szCs w:val="24"/>
                          </w:rPr>
                          <w:t xml:space="preserve"> ou à l’une des organisations énumérées au bas de la ressource susmentionnée.</w:t>
                        </w:r>
                        <w:r w:rsidRPr="007B45E2">
                          <w:rPr>
                            <w:sz w:val="24"/>
                            <w:szCs w:val="24"/>
                          </w:rPr>
                          <w:br/>
                        </w:r>
                        <w:r w:rsidRPr="007B45E2">
                          <w:rPr>
                            <w:sz w:val="24"/>
                            <w:szCs w:val="24"/>
                          </w:rPr>
                          <w:br/>
                          <w:t xml:space="preserve">En outre, </w:t>
                        </w:r>
                        <w:proofErr w:type="spellStart"/>
                        <w:r w:rsidRPr="007B45E2">
                          <w:rPr>
                            <w:sz w:val="24"/>
                            <w:szCs w:val="24"/>
                          </w:rPr>
                          <w:t>tout</w:t>
                        </w:r>
                        <w:proofErr w:type="spellEnd"/>
                        <w:r w:rsidRPr="007B45E2">
                          <w:rPr>
                            <w:sz w:val="24"/>
                            <w:szCs w:val="24"/>
                          </w:rPr>
                          <w:t xml:space="preserve"> cas d’exploitation financière de résidents doit être signalé à l’ORMR.</w:t>
                        </w:r>
                        <w:r w:rsidRPr="007B45E2">
                          <w:rPr>
                            <w:sz w:val="24"/>
                            <w:szCs w:val="24"/>
                          </w:rPr>
                          <w:br/>
                        </w:r>
                        <w:r w:rsidRPr="007B45E2">
                          <w:rPr>
                            <w:sz w:val="24"/>
                            <w:szCs w:val="24"/>
                          </w:rPr>
                          <w:br/>
                        </w:r>
                        <w:r w:rsidRPr="007B45E2">
                          <w:rPr>
                            <w:b/>
                            <w:bCs/>
                            <w:sz w:val="24"/>
                            <w:szCs w:val="24"/>
                          </w:rPr>
                          <w:t>Abonnement à la lettre d’information de l’ORMR pour les membres du personnel des maisons de retraite</w:t>
                        </w:r>
                        <w:r w:rsidRPr="007B45E2">
                          <w:rPr>
                            <w:b/>
                            <w:bCs/>
                            <w:sz w:val="24"/>
                            <w:szCs w:val="24"/>
                          </w:rPr>
                          <w:br/>
                        </w:r>
                        <w:r w:rsidRPr="007B45E2">
                          <w:rPr>
                            <w:sz w:val="24"/>
                            <w:szCs w:val="24"/>
                          </w:rPr>
                          <w:br/>
                          <w:t xml:space="preserve">L’ORMR invite les titulaires de permis et les exploitants à demander aux membres de leur personnel de s’abonner aux Actualités de l’ORMR pour recevoir des informations importantes et à jour concernant les maisons de retraite. Veuillez nous envoyer un </w:t>
                        </w:r>
                        <w:r w:rsidRPr="007B45E2">
                          <w:rPr>
                            <w:sz w:val="24"/>
                            <w:szCs w:val="24"/>
                          </w:rPr>
                          <w:lastRenderedPageBreak/>
                          <w:t xml:space="preserve">courriel à l’adresse </w:t>
                        </w:r>
                        <w:hyperlink r:id="rId20" w:history="1">
                          <w:r w:rsidRPr="007B45E2">
                            <w:rPr>
                              <w:rStyle w:val="Hyperlink"/>
                              <w:sz w:val="24"/>
                              <w:szCs w:val="24"/>
                            </w:rPr>
                            <w:t>e-newsletter@rhra.ca</w:t>
                          </w:r>
                        </w:hyperlink>
                        <w:r w:rsidRPr="007B45E2">
                          <w:rPr>
                            <w:sz w:val="24"/>
                            <w:szCs w:val="24"/>
                          </w:rPr>
                          <w:t xml:space="preserve"> pour rejoindre la liste de diffusion des Actualités de l’ORMR.</w:t>
                        </w:r>
                        <w:r w:rsidRPr="007B45E2">
                          <w:rPr>
                            <w:sz w:val="24"/>
                            <w:szCs w:val="24"/>
                          </w:rPr>
                          <w:br/>
                          <w:t> </w:t>
                        </w:r>
                      </w:p>
                    </w:tc>
                  </w:tr>
                </w:tbl>
                <w:p w14:paraId="029C0A0B" w14:textId="77777777" w:rsidR="00BB50F7" w:rsidRPr="007B45E2" w:rsidRDefault="00BB50F7" w:rsidP="00BB50F7">
                  <w:pPr>
                    <w:rPr>
                      <w:sz w:val="24"/>
                      <w:szCs w:val="24"/>
                    </w:rPr>
                  </w:pPr>
                </w:p>
              </w:tc>
            </w:tr>
          </w:tbl>
          <w:p w14:paraId="44493B76" w14:textId="77777777" w:rsidR="00BB50F7" w:rsidRPr="007B45E2" w:rsidRDefault="00BB50F7" w:rsidP="00BB50F7">
            <w:pPr>
              <w:rPr>
                <w:sz w:val="24"/>
                <w:szCs w:val="24"/>
              </w:rPr>
            </w:pPr>
          </w:p>
          <w:p w14:paraId="4534686A" w14:textId="77777777" w:rsidR="00BB50F7" w:rsidRPr="007B45E2" w:rsidRDefault="00BB50F7" w:rsidP="00BB50F7">
            <w:pPr>
              <w:rPr>
                <w:sz w:val="24"/>
                <w:szCs w:val="24"/>
              </w:rPr>
            </w:pPr>
          </w:p>
        </w:tc>
      </w:tr>
    </w:tbl>
    <w:p w14:paraId="071849A4" w14:textId="77777777" w:rsidR="009041CE" w:rsidRPr="007B45E2" w:rsidRDefault="009041CE" w:rsidP="00BB50F7">
      <w:pPr>
        <w:rPr>
          <w:sz w:val="24"/>
          <w:szCs w:val="24"/>
        </w:rPr>
      </w:pPr>
    </w:p>
    <w:sectPr w:rsidR="009041CE" w:rsidRPr="007B45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9554C"/>
    <w:multiLevelType w:val="multilevel"/>
    <w:tmpl w:val="172A0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415152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0F7"/>
    <w:rsid w:val="006A6218"/>
    <w:rsid w:val="007B45E2"/>
    <w:rsid w:val="009041CE"/>
    <w:rsid w:val="00BB50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EBD2F"/>
  <w15:chartTrackingRefBased/>
  <w15:docId w15:val="{087D336F-12C9-4065-992C-09C6C9D5E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0F7"/>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50F7"/>
    <w:rPr>
      <w:sz w:val="16"/>
      <w:szCs w:val="16"/>
    </w:rPr>
  </w:style>
  <w:style w:type="paragraph" w:styleId="CommentText">
    <w:name w:val="annotation text"/>
    <w:basedOn w:val="Normal"/>
    <w:link w:val="CommentTextChar"/>
    <w:uiPriority w:val="99"/>
    <w:unhideWhenUsed/>
    <w:rsid w:val="00BB50F7"/>
    <w:pPr>
      <w:spacing w:line="240" w:lineRule="auto"/>
    </w:pPr>
    <w:rPr>
      <w:sz w:val="20"/>
      <w:szCs w:val="20"/>
    </w:rPr>
  </w:style>
  <w:style w:type="character" w:customStyle="1" w:styleId="CommentTextChar">
    <w:name w:val="Comment Text Char"/>
    <w:basedOn w:val="DefaultParagraphFont"/>
    <w:link w:val="CommentText"/>
    <w:uiPriority w:val="99"/>
    <w:rsid w:val="00BB50F7"/>
    <w:rPr>
      <w:sz w:val="20"/>
      <w:szCs w:val="20"/>
      <w:lang w:val="fr-FR"/>
    </w:rPr>
  </w:style>
  <w:style w:type="character" w:styleId="Hyperlink">
    <w:name w:val="Hyperlink"/>
    <w:basedOn w:val="DefaultParagraphFont"/>
    <w:uiPriority w:val="99"/>
    <w:unhideWhenUsed/>
    <w:rsid w:val="00BB50F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ra.ca/wp-content/uploads/2022/10/MSAA-PPE-Supply-Portal-Memo-10.17.22-Final-french-.pdf" TargetMode="External"/><Relationship Id="rId13" Type="http://schemas.openxmlformats.org/officeDocument/2006/relationships/hyperlink" Target="mailto:SCO.Supplies@ontario.ca" TargetMode="External"/><Relationship Id="rId18" Type="http://schemas.openxmlformats.org/officeDocument/2006/relationships/hyperlink" Target="https://www.bureaudelaconcurrence.gc.ca/eic/site/cb-bc.nsf/fra/04333.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rhra.ca/wp-content/uploads/2022/10/RHRA-Update_Oct-20-2022_Final-FR-1.pdf" TargetMode="External"/><Relationship Id="rId12" Type="http://schemas.openxmlformats.org/officeDocument/2006/relationships/hyperlink" Target="https://www.rhra.ca/wp-content/uploads/2022/10/QRG_PSP_4_Aout_2022_FR.pdf" TargetMode="External"/><Relationship Id="rId17" Type="http://schemas.openxmlformats.org/officeDocument/2006/relationships/hyperlink" Target="mailto:finance@rhra.ca" TargetMode="External"/><Relationship Id="rId2" Type="http://schemas.openxmlformats.org/officeDocument/2006/relationships/styles" Target="styles.xml"/><Relationship Id="rId16" Type="http://schemas.openxmlformats.org/officeDocument/2006/relationships/hyperlink" Target="https://www.rhra.ca/wp-content/uploads/2022/10/RHRA-Update_Oct-6-2022_Final_FR.pdf" TargetMode="External"/><Relationship Id="rId20" Type="http://schemas.openxmlformats.org/officeDocument/2006/relationships/hyperlink" Target="mailto:e-newsletter@rhra.ca" TargetMode="External"/><Relationship Id="rId1" Type="http://schemas.openxmlformats.org/officeDocument/2006/relationships/numbering" Target="numbering.xml"/><Relationship Id="rId6" Type="http://schemas.openxmlformats.org/officeDocument/2006/relationships/hyperlink" Target="mailto:info@rhra.ca" TargetMode="External"/><Relationship Id="rId11" Type="http://schemas.openxmlformats.org/officeDocument/2006/relationships/hyperlink" Target="https://www.rhra.ca/wp-content/uploads/2022/10/User-Guide_4_Aout_2022_FR.pdf" TargetMode="External"/><Relationship Id="rId5" Type="http://schemas.openxmlformats.org/officeDocument/2006/relationships/hyperlink" Target="https://www.rhra.ca/wp-content/uploads/2022/10/RHRA-Update_Sep-15-2022_V1_FR.pdf" TargetMode="External"/><Relationship Id="rId15" Type="http://schemas.openxmlformats.org/officeDocument/2006/relationships/hyperlink" Target="mailto:info@rhra.ca" TargetMode="External"/><Relationship Id="rId10" Type="http://schemas.openxmlformats.org/officeDocument/2006/relationships/hyperlink" Target="https://www.rhra.ca/wp-content/uploads/2022/10/MSAA-PPE-Supply-Portal-Memo-10.17.22-Final-french-.pdf" TargetMode="External"/><Relationship Id="rId19" Type="http://schemas.openxmlformats.org/officeDocument/2006/relationships/hyperlink" Target="https://antifraudcentre-centreantifraude.ca/" TargetMode="External"/><Relationship Id="rId4" Type="http://schemas.openxmlformats.org/officeDocument/2006/relationships/webSettings" Target="webSettings.xml"/><Relationship Id="rId9" Type="http://schemas.openxmlformats.org/officeDocument/2006/relationships/hyperlink" Target="https://www.ppesupply.ontario.ca/signin.html?vid=20201001001&amp;iu=fr" TargetMode="External"/><Relationship Id="rId14" Type="http://schemas.openxmlformats.org/officeDocument/2006/relationships/hyperlink" Target="mailto:RHInquiries@ontario.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4532</Characters>
  <Application>Microsoft Office Word</Application>
  <DocSecurity>0</DocSecurity>
  <Lines>105</Lines>
  <Paragraphs>10</Paragraphs>
  <ScaleCrop>false</ScaleCrop>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Alibaksh</dc:creator>
  <cp:keywords/>
  <dc:description/>
  <cp:lastModifiedBy>Alyssa Alibaksh</cp:lastModifiedBy>
  <cp:revision>2</cp:revision>
  <dcterms:created xsi:type="dcterms:W3CDTF">2022-11-11T15:05:00Z</dcterms:created>
  <dcterms:modified xsi:type="dcterms:W3CDTF">2022-11-11T15:05:00Z</dcterms:modified>
</cp:coreProperties>
</file>